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A76" w:rsidRPr="00900A76" w:rsidRDefault="00900A76" w:rsidP="00900A76">
      <w:pPr>
        <w:spacing w:after="0" w:line="240" w:lineRule="auto"/>
        <w:outlineLvl w:val="0"/>
        <w:rPr>
          <w:rFonts w:ascii="Arial" w:eastAsia="Times New Roman" w:hAnsi="Arial" w:cs="Arial"/>
          <w:b/>
          <w:bCs/>
          <w:caps/>
          <w:color w:val="2A2A2A"/>
          <w:kern w:val="36"/>
          <w:sz w:val="36"/>
          <w:szCs w:val="48"/>
        </w:rPr>
      </w:pPr>
      <w:r w:rsidRPr="00900A76">
        <w:rPr>
          <w:rFonts w:ascii="Arial" w:eastAsia="Times New Roman" w:hAnsi="Arial" w:cs="Arial"/>
          <w:b/>
          <w:bCs/>
          <w:caps/>
          <w:color w:val="2A2A2A"/>
          <w:kern w:val="36"/>
          <w:sz w:val="36"/>
          <w:szCs w:val="48"/>
        </w:rPr>
        <w:t>HOW TO CALCULATE BEARING CAPACITY OF SOIL FROM PLATE LOAD TEST?</w:t>
      </w:r>
    </w:p>
    <w:p w:rsidR="00900A76" w:rsidRPr="00900A76" w:rsidRDefault="00900A76" w:rsidP="00900A76">
      <w:pPr>
        <w:shd w:val="clear" w:color="auto" w:fill="FFFFFF"/>
        <w:spacing w:after="180" w:line="240" w:lineRule="auto"/>
        <w:outlineLvl w:val="0"/>
        <w:rPr>
          <w:rFonts w:ascii="Arial" w:eastAsia="Times New Roman" w:hAnsi="Arial" w:cs="Arial"/>
          <w:color w:val="999999"/>
          <w:sz w:val="20"/>
          <w:szCs w:val="20"/>
        </w:rPr>
      </w:pPr>
    </w:p>
    <w:p w:rsidR="00900A76" w:rsidRPr="00900A76" w:rsidRDefault="00900A76" w:rsidP="00900A76">
      <w:pPr>
        <w:shd w:val="clear" w:color="auto" w:fill="FFFFFF"/>
        <w:spacing w:after="180" w:line="240" w:lineRule="auto"/>
        <w:outlineLvl w:val="0"/>
        <w:rPr>
          <w:rFonts w:ascii="Arial" w:eastAsia="Times New Roman" w:hAnsi="Arial" w:cs="Arial"/>
          <w:b/>
          <w:bCs/>
          <w:caps/>
          <w:color w:val="2A2A2A"/>
          <w:kern w:val="36"/>
          <w:sz w:val="42"/>
          <w:szCs w:val="42"/>
        </w:rPr>
      </w:pPr>
      <w:r w:rsidRPr="00900A76">
        <w:rPr>
          <w:rFonts w:ascii="Arial" w:eastAsia="Times New Roman" w:hAnsi="Arial" w:cs="Arial"/>
          <w:b/>
          <w:bCs/>
          <w:caps/>
          <w:color w:val="000000"/>
          <w:kern w:val="36"/>
          <w:sz w:val="42"/>
          <w:szCs w:val="42"/>
        </w:rPr>
        <w:t>PLT (PLATE LOAD TEST)</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Plate load test is a field test which is commonly adopted to determine the bearing capacity and settlement of soil under a given condition of loading.</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In this test a square or circular rigid plate of standard dimension (generally 300 mm2 for square or 300 mm dia for circular) is placed at foundation level and load is applied in increments. Then settlement of the plate corresponding to each load increment is recorded for calculating bearing capacity of soil.</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To know the detail test procedure click the link given below.</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hyperlink r:id="rId7" w:history="1">
        <w:r w:rsidRPr="00900A76">
          <w:rPr>
            <w:rFonts w:ascii="Arial" w:eastAsia="Times New Roman" w:hAnsi="Arial" w:cs="Arial"/>
            <w:b/>
            <w:bCs/>
            <w:color w:val="38B7EE"/>
            <w:sz w:val="21"/>
            <w:szCs w:val="21"/>
            <w:u w:val="single"/>
          </w:rPr>
          <w:t>How to perform Plate Load Test On site?</w:t>
        </w:r>
      </w:hyperlink>
    </w:p>
    <w:p w:rsidR="00900A76" w:rsidRPr="00900A76" w:rsidRDefault="00900A76" w:rsidP="00900A76">
      <w:pPr>
        <w:shd w:val="clear" w:color="auto" w:fill="FFFFFF"/>
        <w:spacing w:after="180" w:line="240" w:lineRule="auto"/>
        <w:outlineLvl w:val="0"/>
        <w:rPr>
          <w:rFonts w:ascii="Arial" w:eastAsia="Times New Roman" w:hAnsi="Arial" w:cs="Arial"/>
          <w:b/>
          <w:bCs/>
          <w:caps/>
          <w:color w:val="2A2A2A"/>
          <w:kern w:val="36"/>
          <w:sz w:val="42"/>
          <w:szCs w:val="42"/>
        </w:rPr>
      </w:pPr>
      <w:r w:rsidRPr="00900A76">
        <w:rPr>
          <w:rFonts w:ascii="Arial" w:eastAsia="Times New Roman" w:hAnsi="Arial" w:cs="Arial"/>
          <w:b/>
          <w:bCs/>
          <w:caps/>
          <w:color w:val="000000"/>
          <w:kern w:val="36"/>
          <w:sz w:val="42"/>
          <w:szCs w:val="42"/>
        </w:rPr>
        <w:t>CALCULATION OF BEARING CAPACITY OF SOIL</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The whole process of calculating bearing capacity of soil using plate load test data consists of the following 4 primary steps.</w:t>
      </w:r>
    </w:p>
    <w:p w:rsidR="00900A76" w:rsidRPr="00900A76" w:rsidRDefault="00900A76" w:rsidP="00900A76">
      <w:pPr>
        <w:numPr>
          <w:ilvl w:val="0"/>
          <w:numId w:val="1"/>
        </w:numPr>
        <w:shd w:val="clear" w:color="auto" w:fill="FFFFFF"/>
        <w:spacing w:before="100" w:beforeAutospacing="1" w:after="100" w:afterAutospacing="1" w:line="240" w:lineRule="auto"/>
        <w:ind w:left="456"/>
        <w:rPr>
          <w:rFonts w:ascii="Arial" w:eastAsia="Times New Roman" w:hAnsi="Arial" w:cs="Arial"/>
          <w:color w:val="555555"/>
          <w:sz w:val="21"/>
          <w:szCs w:val="21"/>
        </w:rPr>
      </w:pPr>
      <w:r w:rsidRPr="00900A76">
        <w:rPr>
          <w:rFonts w:ascii="Arial" w:eastAsia="Times New Roman" w:hAnsi="Arial" w:cs="Arial"/>
          <w:b/>
          <w:bCs/>
          <w:color w:val="555555"/>
          <w:sz w:val="21"/>
          <w:szCs w:val="21"/>
        </w:rPr>
        <w:t>Step-1 (Plotting a Load-Settlement Curve)</w:t>
      </w:r>
    </w:p>
    <w:p w:rsidR="00900A76" w:rsidRPr="00900A76" w:rsidRDefault="00900A76" w:rsidP="00900A76">
      <w:pPr>
        <w:numPr>
          <w:ilvl w:val="0"/>
          <w:numId w:val="1"/>
        </w:numPr>
        <w:shd w:val="clear" w:color="auto" w:fill="FFFFFF"/>
        <w:spacing w:before="100" w:beforeAutospacing="1" w:after="100" w:afterAutospacing="1" w:line="240" w:lineRule="auto"/>
        <w:ind w:left="456"/>
        <w:rPr>
          <w:rFonts w:ascii="Arial" w:eastAsia="Times New Roman" w:hAnsi="Arial" w:cs="Arial"/>
          <w:color w:val="555555"/>
          <w:sz w:val="21"/>
          <w:szCs w:val="21"/>
        </w:rPr>
      </w:pPr>
      <w:r w:rsidRPr="00900A76">
        <w:rPr>
          <w:rFonts w:ascii="Arial" w:eastAsia="Times New Roman" w:hAnsi="Arial" w:cs="Arial"/>
          <w:b/>
          <w:bCs/>
          <w:color w:val="555555"/>
          <w:sz w:val="21"/>
          <w:szCs w:val="21"/>
        </w:rPr>
        <w:t>Step-2 (Finding Ultimate Bearing Capacity)</w:t>
      </w:r>
    </w:p>
    <w:p w:rsidR="00900A76" w:rsidRPr="00900A76" w:rsidRDefault="00900A76" w:rsidP="00900A76">
      <w:pPr>
        <w:numPr>
          <w:ilvl w:val="0"/>
          <w:numId w:val="1"/>
        </w:numPr>
        <w:shd w:val="clear" w:color="auto" w:fill="FFFFFF"/>
        <w:spacing w:before="100" w:beforeAutospacing="1" w:after="100" w:afterAutospacing="1" w:line="240" w:lineRule="auto"/>
        <w:ind w:left="456"/>
        <w:rPr>
          <w:rFonts w:ascii="Arial" w:eastAsia="Times New Roman" w:hAnsi="Arial" w:cs="Arial"/>
          <w:color w:val="555555"/>
          <w:sz w:val="21"/>
          <w:szCs w:val="21"/>
        </w:rPr>
      </w:pPr>
      <w:r w:rsidRPr="00900A76">
        <w:rPr>
          <w:rFonts w:ascii="Arial" w:eastAsia="Times New Roman" w:hAnsi="Arial" w:cs="Arial"/>
          <w:b/>
          <w:bCs/>
          <w:color w:val="555555"/>
          <w:sz w:val="21"/>
          <w:szCs w:val="21"/>
        </w:rPr>
        <w:t>Step-3 (Calculating Safe Bearing Capacity)</w:t>
      </w:r>
    </w:p>
    <w:p w:rsidR="00900A76" w:rsidRPr="00900A76" w:rsidRDefault="00900A76" w:rsidP="00900A76">
      <w:pPr>
        <w:numPr>
          <w:ilvl w:val="0"/>
          <w:numId w:val="1"/>
        </w:numPr>
        <w:shd w:val="clear" w:color="auto" w:fill="FFFFFF"/>
        <w:spacing w:before="100" w:beforeAutospacing="1" w:after="100" w:afterAutospacing="1" w:line="240" w:lineRule="auto"/>
        <w:ind w:left="456"/>
        <w:rPr>
          <w:rFonts w:ascii="Arial" w:eastAsia="Times New Roman" w:hAnsi="Arial" w:cs="Arial"/>
          <w:color w:val="555555"/>
          <w:sz w:val="21"/>
          <w:szCs w:val="21"/>
        </w:rPr>
      </w:pPr>
      <w:r w:rsidRPr="00900A76">
        <w:rPr>
          <w:rFonts w:ascii="Arial" w:eastAsia="Times New Roman" w:hAnsi="Arial" w:cs="Arial"/>
          <w:b/>
          <w:bCs/>
          <w:color w:val="555555"/>
          <w:sz w:val="21"/>
          <w:szCs w:val="21"/>
        </w:rPr>
        <w:t>Step-4 (Calculating Settlement of Proposed Footing)</w:t>
      </w:r>
    </w:p>
    <w:p w:rsidR="00900A76" w:rsidRPr="00900A76" w:rsidRDefault="00900A76" w:rsidP="00900A76">
      <w:pPr>
        <w:shd w:val="clear" w:color="auto" w:fill="FFFFFF"/>
        <w:spacing w:after="180" w:line="240" w:lineRule="auto"/>
        <w:outlineLvl w:val="1"/>
        <w:rPr>
          <w:rFonts w:ascii="Arial" w:eastAsia="Times New Roman" w:hAnsi="Arial" w:cs="Arial"/>
          <w:b/>
          <w:bCs/>
          <w:caps/>
          <w:color w:val="2A2A2A"/>
          <w:sz w:val="36"/>
          <w:szCs w:val="36"/>
        </w:rPr>
      </w:pPr>
      <w:r w:rsidRPr="00900A76">
        <w:rPr>
          <w:rFonts w:ascii="Arial" w:eastAsia="Times New Roman" w:hAnsi="Arial" w:cs="Arial"/>
          <w:b/>
          <w:bCs/>
          <w:caps/>
          <w:color w:val="FF6600"/>
          <w:sz w:val="36"/>
          <w:szCs w:val="36"/>
        </w:rPr>
        <w:t>1. STEP-1</w:t>
      </w:r>
      <w:r w:rsidRPr="00900A76">
        <w:rPr>
          <w:rFonts w:ascii="Arial" w:eastAsia="Times New Roman" w:hAnsi="Arial" w:cs="Arial"/>
          <w:b/>
          <w:bCs/>
          <w:caps/>
          <w:color w:val="00CCFF"/>
          <w:sz w:val="36"/>
          <w:szCs w:val="36"/>
        </w:rPr>
        <w:t> (PLOTTING A LOAD-SETTLEMENT CURVE)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After performing the plate load test, plot a load settlement curve (see fig-1) on arithmetic scale, with applied </w:t>
      </w:r>
      <w:r w:rsidRPr="00900A76">
        <w:rPr>
          <w:rFonts w:ascii="Arial" w:eastAsia="Times New Roman" w:hAnsi="Arial" w:cs="Arial"/>
          <w:b/>
          <w:bCs/>
          <w:color w:val="555555"/>
          <w:sz w:val="21"/>
          <w:szCs w:val="21"/>
        </w:rPr>
        <w:t>pressure</w:t>
      </w:r>
      <w:r w:rsidRPr="00900A76">
        <w:rPr>
          <w:rFonts w:ascii="Arial" w:eastAsia="Times New Roman" w:hAnsi="Arial" w:cs="Arial"/>
          <w:color w:val="555555"/>
          <w:sz w:val="21"/>
          <w:szCs w:val="21"/>
        </w:rPr>
        <w:t> in kN/m</w:t>
      </w:r>
      <w:r w:rsidRPr="00900A76">
        <w:rPr>
          <w:rFonts w:ascii="Arial" w:eastAsia="Times New Roman" w:hAnsi="Arial" w:cs="Arial"/>
          <w:color w:val="555555"/>
          <w:sz w:val="16"/>
          <w:szCs w:val="16"/>
          <w:vertAlign w:val="superscript"/>
        </w:rPr>
        <w:t>2</w:t>
      </w:r>
      <w:r w:rsidRPr="00900A76">
        <w:rPr>
          <w:rFonts w:ascii="Arial" w:eastAsia="Times New Roman" w:hAnsi="Arial" w:cs="Arial"/>
          <w:color w:val="555555"/>
          <w:sz w:val="21"/>
          <w:szCs w:val="21"/>
        </w:rPr>
        <w:t> </w:t>
      </w:r>
      <w:r w:rsidRPr="00900A76">
        <w:rPr>
          <w:rFonts w:ascii="Arial" w:eastAsia="Times New Roman" w:hAnsi="Arial" w:cs="Arial"/>
          <w:b/>
          <w:bCs/>
          <w:color w:val="555555"/>
          <w:sz w:val="21"/>
          <w:szCs w:val="21"/>
        </w:rPr>
        <w:t>in x-axis</w:t>
      </w:r>
      <w:r w:rsidRPr="00900A76">
        <w:rPr>
          <w:rFonts w:ascii="Arial" w:eastAsia="Times New Roman" w:hAnsi="Arial" w:cs="Arial"/>
          <w:color w:val="555555"/>
          <w:sz w:val="21"/>
          <w:szCs w:val="21"/>
        </w:rPr>
        <w:t> and corresponding </w:t>
      </w:r>
      <w:r w:rsidRPr="00900A76">
        <w:rPr>
          <w:rFonts w:ascii="Arial" w:eastAsia="Times New Roman" w:hAnsi="Arial" w:cs="Arial"/>
          <w:b/>
          <w:bCs/>
          <w:color w:val="555555"/>
          <w:sz w:val="21"/>
          <w:szCs w:val="21"/>
        </w:rPr>
        <w:t>settlement</w:t>
      </w:r>
      <w:r w:rsidRPr="00900A76">
        <w:rPr>
          <w:rFonts w:ascii="Arial" w:eastAsia="Times New Roman" w:hAnsi="Arial" w:cs="Arial"/>
          <w:color w:val="555555"/>
          <w:sz w:val="21"/>
          <w:szCs w:val="21"/>
        </w:rPr>
        <w:t> (in mm)</w:t>
      </w:r>
      <w:r w:rsidRPr="00900A76">
        <w:rPr>
          <w:rFonts w:ascii="Arial" w:eastAsia="Times New Roman" w:hAnsi="Arial" w:cs="Arial"/>
          <w:b/>
          <w:bCs/>
          <w:color w:val="555555"/>
          <w:sz w:val="21"/>
          <w:szCs w:val="21"/>
        </w:rPr>
        <w:t> in y-axis</w:t>
      </w:r>
      <w:r w:rsidRPr="00900A76">
        <w:rPr>
          <w:rFonts w:ascii="Arial" w:eastAsia="Times New Roman" w:hAnsi="Arial" w:cs="Arial"/>
          <w:color w:val="555555"/>
          <w:sz w:val="21"/>
          <w:szCs w:val="21"/>
        </w:rPr>
        <w:t>.</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Depending on the type of soil below the test plate, the load settlement curve can be of 4 different types as shown below.</w:t>
      </w:r>
    </w:p>
    <w:p w:rsidR="00900A76" w:rsidRPr="00900A76" w:rsidRDefault="00900A76" w:rsidP="00900A76">
      <w:pPr>
        <w:shd w:val="clear" w:color="auto" w:fill="FFFFFF"/>
        <w:spacing w:after="0" w:line="240" w:lineRule="auto"/>
        <w:rPr>
          <w:rFonts w:ascii="Arial" w:eastAsia="Times New Roman" w:hAnsi="Arial" w:cs="Arial"/>
          <w:color w:val="555555"/>
          <w:sz w:val="21"/>
          <w:szCs w:val="21"/>
        </w:rPr>
      </w:pPr>
      <w:r w:rsidRPr="00900A76">
        <w:rPr>
          <w:rFonts w:ascii="Arial" w:eastAsia="Times New Roman" w:hAnsi="Arial" w:cs="Arial"/>
          <w:noProof/>
          <w:color w:val="555555"/>
          <w:sz w:val="21"/>
          <w:szCs w:val="21"/>
        </w:rPr>
        <w:drawing>
          <wp:inline distT="0" distB="0" distL="0" distR="0">
            <wp:extent cx="2855595" cy="2052955"/>
            <wp:effectExtent l="0" t="0" r="1905" b="4445"/>
            <wp:docPr id="3" name="图片 3" descr="Fig-1 Types of load settlement cur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1 Types of load settlement curv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5595" cy="2052955"/>
                    </a:xfrm>
                    <a:prstGeom prst="rect">
                      <a:avLst/>
                    </a:prstGeom>
                    <a:noFill/>
                    <a:ln>
                      <a:noFill/>
                    </a:ln>
                  </pic:spPr>
                </pic:pic>
              </a:graphicData>
            </a:graphic>
          </wp:inline>
        </w:drawing>
      </w:r>
      <w:r w:rsidRPr="00900A76">
        <w:rPr>
          <w:rFonts w:ascii="Arial" w:eastAsia="Times New Roman" w:hAnsi="Arial" w:cs="Arial"/>
          <w:color w:val="555555"/>
          <w:sz w:val="21"/>
          <w:szCs w:val="21"/>
        </w:rPr>
        <w:t>Fig-1 Types of load settlement curves</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u w:val="single"/>
        </w:rPr>
        <w:lastRenderedPageBreak/>
        <w:t>Curve A:</w:t>
      </w:r>
      <w:r w:rsidRPr="00900A76">
        <w:rPr>
          <w:rFonts w:ascii="Arial" w:eastAsia="Times New Roman" w:hAnsi="Arial" w:cs="Arial"/>
          <w:color w:val="555555"/>
          <w:sz w:val="21"/>
          <w:szCs w:val="21"/>
        </w:rPr>
        <w:t> This type curve is obtained in case of loose to </w:t>
      </w:r>
      <w:r w:rsidRPr="00900A76">
        <w:rPr>
          <w:rFonts w:ascii="Arial" w:eastAsia="Times New Roman" w:hAnsi="Arial" w:cs="Arial"/>
          <w:b/>
          <w:bCs/>
          <w:color w:val="555555"/>
          <w:sz w:val="21"/>
          <w:szCs w:val="21"/>
        </w:rPr>
        <w:t>medium cohesion less soil</w:t>
      </w:r>
      <w:r w:rsidRPr="00900A76">
        <w:rPr>
          <w:rFonts w:ascii="Arial" w:eastAsia="Times New Roman" w:hAnsi="Arial" w:cs="Arial"/>
          <w:color w:val="555555"/>
          <w:sz w:val="21"/>
          <w:szCs w:val="21"/>
        </w:rPr>
        <w:t> (i.e. </w:t>
      </w:r>
      <w:r w:rsidRPr="00900A76">
        <w:rPr>
          <w:rFonts w:ascii="Arial" w:eastAsia="Times New Roman" w:hAnsi="Arial" w:cs="Arial"/>
          <w:b/>
          <w:bCs/>
          <w:color w:val="555555"/>
          <w:sz w:val="21"/>
          <w:szCs w:val="21"/>
        </w:rPr>
        <w:t>15 &lt; N &lt; 30</w:t>
      </w:r>
      <w:r w:rsidRPr="00900A76">
        <w:rPr>
          <w:rFonts w:ascii="Arial" w:eastAsia="Times New Roman" w:hAnsi="Arial" w:cs="Arial"/>
          <w:color w:val="555555"/>
          <w:sz w:val="21"/>
          <w:szCs w:val="21"/>
        </w:rPr>
        <w:t>). This type of curve shows no clear point of failure.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u w:val="single"/>
        </w:rPr>
        <w:t>Curve B:</w:t>
      </w:r>
      <w:r w:rsidRPr="00900A76">
        <w:rPr>
          <w:rFonts w:ascii="Arial" w:eastAsia="Times New Roman" w:hAnsi="Arial" w:cs="Arial"/>
          <w:color w:val="555555"/>
          <w:sz w:val="21"/>
          <w:szCs w:val="21"/>
        </w:rPr>
        <w:t> This type curve is obtained in case of</w:t>
      </w:r>
      <w:r w:rsidRPr="00900A76">
        <w:rPr>
          <w:rFonts w:ascii="Arial" w:eastAsia="Times New Roman" w:hAnsi="Arial" w:cs="Arial"/>
          <w:b/>
          <w:bCs/>
          <w:color w:val="555555"/>
          <w:sz w:val="21"/>
          <w:szCs w:val="21"/>
        </w:rPr>
        <w:t>cohesive soil</w:t>
      </w:r>
      <w:r w:rsidRPr="00900A76">
        <w:rPr>
          <w:rFonts w:ascii="Arial" w:eastAsia="Times New Roman" w:hAnsi="Arial" w:cs="Arial"/>
          <w:color w:val="555555"/>
          <w:sz w:val="21"/>
          <w:szCs w:val="21"/>
        </w:rPr>
        <w:t>. As the load increases the curve leans toward settlement curve.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u w:val="single"/>
        </w:rPr>
        <w:t>Curve C:</w:t>
      </w:r>
      <w:r w:rsidRPr="00900A76">
        <w:rPr>
          <w:rFonts w:ascii="Arial" w:eastAsia="Times New Roman" w:hAnsi="Arial" w:cs="Arial"/>
          <w:color w:val="555555"/>
          <w:sz w:val="21"/>
          <w:szCs w:val="21"/>
        </w:rPr>
        <w:t> This type curve is obtained in case of</w:t>
      </w:r>
      <w:r w:rsidRPr="00900A76">
        <w:rPr>
          <w:rFonts w:ascii="Arial" w:eastAsia="Times New Roman" w:hAnsi="Arial" w:cs="Arial"/>
          <w:b/>
          <w:bCs/>
          <w:color w:val="555555"/>
          <w:sz w:val="21"/>
          <w:szCs w:val="21"/>
        </w:rPr>
        <w:t>partially cohesive soil (i.e. C-phi soil)</w:t>
      </w:r>
      <w:r w:rsidRPr="00900A76">
        <w:rPr>
          <w:rFonts w:ascii="Arial" w:eastAsia="Times New Roman" w:hAnsi="Arial" w:cs="Arial"/>
          <w:color w:val="555555"/>
          <w:sz w:val="21"/>
          <w:szCs w:val="21"/>
        </w:rPr>
        <w:t>. This type of curve also does not show a clear point of failure.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u w:val="single"/>
        </w:rPr>
        <w:t>Curve D:</w:t>
      </w:r>
      <w:r w:rsidRPr="00900A76">
        <w:rPr>
          <w:rFonts w:ascii="Arial" w:eastAsia="Times New Roman" w:hAnsi="Arial" w:cs="Arial"/>
          <w:color w:val="555555"/>
          <w:sz w:val="21"/>
          <w:szCs w:val="21"/>
        </w:rPr>
        <w:t> This type curve is obtained in case of </w:t>
      </w:r>
      <w:r w:rsidRPr="00900A76">
        <w:rPr>
          <w:rFonts w:ascii="Arial" w:eastAsia="Times New Roman" w:hAnsi="Arial" w:cs="Arial"/>
          <w:b/>
          <w:bCs/>
          <w:color w:val="555555"/>
          <w:sz w:val="21"/>
          <w:szCs w:val="21"/>
        </w:rPr>
        <w:t>dense cohesionless soil (i.e. N &gt; 30)</w:t>
      </w:r>
      <w:r w:rsidRPr="00900A76">
        <w:rPr>
          <w:rFonts w:ascii="Arial" w:eastAsia="Times New Roman" w:hAnsi="Arial" w:cs="Arial"/>
          <w:color w:val="555555"/>
          <w:sz w:val="21"/>
          <w:szCs w:val="21"/>
        </w:rPr>
        <w:t>. This type of curve is common in case of dense sand or gravel deposits.</w:t>
      </w:r>
    </w:p>
    <w:p w:rsidR="00900A76" w:rsidRPr="00900A76" w:rsidRDefault="00900A76" w:rsidP="00900A76">
      <w:pPr>
        <w:shd w:val="clear" w:color="auto" w:fill="FFFFFF"/>
        <w:spacing w:after="180" w:line="240" w:lineRule="auto"/>
        <w:outlineLvl w:val="1"/>
        <w:rPr>
          <w:rFonts w:ascii="Arial" w:eastAsia="Times New Roman" w:hAnsi="Arial" w:cs="Arial"/>
          <w:b/>
          <w:bCs/>
          <w:caps/>
          <w:color w:val="2A2A2A"/>
          <w:sz w:val="36"/>
          <w:szCs w:val="36"/>
        </w:rPr>
      </w:pPr>
      <w:r w:rsidRPr="00900A76">
        <w:rPr>
          <w:rFonts w:ascii="Arial" w:eastAsia="Times New Roman" w:hAnsi="Arial" w:cs="Arial"/>
          <w:b/>
          <w:bCs/>
          <w:caps/>
          <w:color w:val="FF6600"/>
          <w:sz w:val="36"/>
          <w:szCs w:val="36"/>
        </w:rPr>
        <w:t>2. STEP-2</w:t>
      </w:r>
      <w:r w:rsidRPr="00900A76">
        <w:rPr>
          <w:rFonts w:ascii="Arial" w:eastAsia="Times New Roman" w:hAnsi="Arial" w:cs="Arial"/>
          <w:b/>
          <w:bCs/>
          <w:caps/>
          <w:color w:val="00CCFF"/>
          <w:sz w:val="36"/>
          <w:szCs w:val="36"/>
        </w:rPr>
        <w:t> (FINDING ULTIMATE BEARING CAPACITY)</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After drawing the load settlement curve, the next step is to identify the failure point on the load settlement curve.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In case of </w:t>
      </w:r>
      <w:r w:rsidRPr="00900A76">
        <w:rPr>
          <w:rFonts w:ascii="Arial" w:eastAsia="Times New Roman" w:hAnsi="Arial" w:cs="Arial"/>
          <w:b/>
          <w:bCs/>
          <w:color w:val="555555"/>
          <w:sz w:val="21"/>
          <w:szCs w:val="21"/>
        </w:rPr>
        <w:t>curve B &amp; D</w:t>
      </w:r>
      <w:r w:rsidRPr="00900A76">
        <w:rPr>
          <w:rFonts w:ascii="Arial" w:eastAsia="Times New Roman" w:hAnsi="Arial" w:cs="Arial"/>
          <w:color w:val="555555"/>
          <w:sz w:val="21"/>
          <w:szCs w:val="21"/>
        </w:rPr>
        <w:t>, the point of failure can be easily identified by the sudden drop down of the curve. Or draw two </w:t>
      </w:r>
      <w:r w:rsidRPr="00900A76">
        <w:rPr>
          <w:rFonts w:ascii="Arial" w:eastAsia="Times New Roman" w:hAnsi="Arial" w:cs="Arial"/>
          <w:b/>
          <w:bCs/>
          <w:color w:val="555555"/>
          <w:sz w:val="21"/>
          <w:szCs w:val="21"/>
        </w:rPr>
        <w:t>tangent lines</w:t>
      </w:r>
      <w:r w:rsidRPr="00900A76">
        <w:rPr>
          <w:rFonts w:ascii="Arial" w:eastAsia="Times New Roman" w:hAnsi="Arial" w:cs="Arial"/>
          <w:color w:val="555555"/>
          <w:sz w:val="21"/>
          <w:szCs w:val="21"/>
        </w:rPr>
        <w:t> from the beginning straight portion of the curve and end straight portion of the curve. The point where these two tangents cross each other is called the</w:t>
      </w:r>
      <w:r>
        <w:rPr>
          <w:rFonts w:ascii="Arial" w:eastAsia="Times New Roman" w:hAnsi="Arial" w:cs="Arial"/>
          <w:color w:val="555555"/>
          <w:sz w:val="21"/>
          <w:szCs w:val="21"/>
        </w:rPr>
        <w:t xml:space="preserve"> </w:t>
      </w:r>
      <w:r w:rsidRPr="00900A76">
        <w:rPr>
          <w:rFonts w:ascii="Arial" w:eastAsia="Times New Roman" w:hAnsi="Arial" w:cs="Arial"/>
          <w:b/>
          <w:bCs/>
          <w:color w:val="555555"/>
          <w:sz w:val="21"/>
          <w:szCs w:val="21"/>
        </w:rPr>
        <w:t>point of failure</w:t>
      </w:r>
      <w:r w:rsidRPr="00900A76">
        <w:rPr>
          <w:rFonts w:ascii="Arial" w:eastAsia="Times New Roman" w:hAnsi="Arial" w:cs="Arial"/>
          <w:color w:val="555555"/>
          <w:sz w:val="21"/>
          <w:szCs w:val="21"/>
        </w:rPr>
        <w:t>. The p</w:t>
      </w:r>
      <w:bookmarkStart w:id="0" w:name="_GoBack"/>
      <w:bookmarkEnd w:id="0"/>
      <w:r w:rsidRPr="00900A76">
        <w:rPr>
          <w:rFonts w:ascii="Arial" w:eastAsia="Times New Roman" w:hAnsi="Arial" w:cs="Arial"/>
          <w:color w:val="555555"/>
          <w:sz w:val="21"/>
          <w:szCs w:val="21"/>
        </w:rPr>
        <w:t>ressure corresponding to this point is called </w:t>
      </w:r>
      <w:r w:rsidRPr="00900A76">
        <w:rPr>
          <w:rFonts w:ascii="Arial" w:eastAsia="Times New Roman" w:hAnsi="Arial" w:cs="Arial"/>
          <w:b/>
          <w:bCs/>
          <w:color w:val="555555"/>
          <w:sz w:val="21"/>
          <w:szCs w:val="21"/>
        </w:rPr>
        <w:t>ultimate bearing capacity</w:t>
      </w:r>
      <w:r w:rsidRPr="00900A76">
        <w:rPr>
          <w:rFonts w:ascii="Arial" w:eastAsia="Times New Roman" w:hAnsi="Arial" w:cs="Arial"/>
          <w:color w:val="555555"/>
          <w:sz w:val="21"/>
          <w:szCs w:val="21"/>
        </w:rPr>
        <w:t> of the soil.</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But in case of </w:t>
      </w:r>
      <w:r w:rsidRPr="00900A76">
        <w:rPr>
          <w:rFonts w:ascii="Arial" w:eastAsia="Times New Roman" w:hAnsi="Arial" w:cs="Arial"/>
          <w:b/>
          <w:bCs/>
          <w:color w:val="555555"/>
          <w:sz w:val="21"/>
          <w:szCs w:val="21"/>
        </w:rPr>
        <w:t>curve A &amp; C</w:t>
      </w:r>
      <w:r w:rsidRPr="00900A76">
        <w:rPr>
          <w:rFonts w:ascii="Arial" w:eastAsia="Times New Roman" w:hAnsi="Arial" w:cs="Arial"/>
          <w:color w:val="555555"/>
          <w:sz w:val="21"/>
          <w:szCs w:val="21"/>
        </w:rPr>
        <w:t>, it is difficult to find out a clear point of failure on the load settlement curve. To overcome this problem scientist </w:t>
      </w:r>
      <w:r w:rsidRPr="00900A76">
        <w:rPr>
          <w:rFonts w:ascii="Arial" w:eastAsia="Times New Roman" w:hAnsi="Arial" w:cs="Arial"/>
          <w:b/>
          <w:bCs/>
          <w:color w:val="555555"/>
          <w:sz w:val="21"/>
          <w:szCs w:val="21"/>
        </w:rPr>
        <w:t>Abbet</w:t>
      </w:r>
      <w:r w:rsidRPr="00900A76">
        <w:rPr>
          <w:rFonts w:ascii="Arial" w:eastAsia="Times New Roman" w:hAnsi="Arial" w:cs="Arial"/>
          <w:color w:val="555555"/>
          <w:sz w:val="21"/>
          <w:szCs w:val="21"/>
        </w:rPr>
        <w:t> introduced another method of drawing load settlement curve. According to his method, a </w:t>
      </w:r>
      <w:r w:rsidRPr="00900A76">
        <w:rPr>
          <w:rFonts w:ascii="Arial" w:eastAsia="Times New Roman" w:hAnsi="Arial" w:cs="Arial"/>
          <w:b/>
          <w:bCs/>
          <w:color w:val="555555"/>
          <w:sz w:val="21"/>
          <w:szCs w:val="21"/>
        </w:rPr>
        <w:t>log-log chart</w:t>
      </w:r>
      <w:r w:rsidRPr="00900A76">
        <w:rPr>
          <w:rFonts w:ascii="Arial" w:eastAsia="Times New Roman" w:hAnsi="Arial" w:cs="Arial"/>
          <w:color w:val="555555"/>
          <w:sz w:val="21"/>
          <w:szCs w:val="21"/>
        </w:rPr>
        <w:t> is plotted with settlement are plotted as abscissa against corresponding pressure intensities as ordinate. Such a plotting will give two straight lines, the intersection of which will be considered as the failure point. Find the corresponding value of pressure to the failure point. This is considered as the </w:t>
      </w:r>
      <w:r w:rsidRPr="00900A76">
        <w:rPr>
          <w:rFonts w:ascii="Arial" w:eastAsia="Times New Roman" w:hAnsi="Arial" w:cs="Arial"/>
          <w:b/>
          <w:bCs/>
          <w:color w:val="555555"/>
          <w:sz w:val="21"/>
          <w:szCs w:val="21"/>
        </w:rPr>
        <w:t>ultimate bearing capacity</w:t>
      </w:r>
      <w:r w:rsidRPr="00900A76">
        <w:rPr>
          <w:rFonts w:ascii="Arial" w:eastAsia="Times New Roman" w:hAnsi="Arial" w:cs="Arial"/>
          <w:color w:val="555555"/>
          <w:sz w:val="21"/>
          <w:szCs w:val="21"/>
        </w:rPr>
        <w:t> of soil.</w:t>
      </w:r>
    </w:p>
    <w:p w:rsidR="00900A76" w:rsidRPr="00900A76" w:rsidRDefault="00900A76" w:rsidP="00900A76">
      <w:pPr>
        <w:shd w:val="clear" w:color="auto" w:fill="FFFFFF"/>
        <w:spacing w:after="0" w:line="240" w:lineRule="auto"/>
        <w:rPr>
          <w:rFonts w:ascii="Arial" w:eastAsia="Times New Roman" w:hAnsi="Arial" w:cs="Arial"/>
          <w:color w:val="555555"/>
          <w:sz w:val="21"/>
          <w:szCs w:val="21"/>
        </w:rPr>
      </w:pPr>
      <w:r w:rsidRPr="00900A76">
        <w:rPr>
          <w:rFonts w:ascii="Arial" w:eastAsia="Times New Roman" w:hAnsi="Arial" w:cs="Arial"/>
          <w:noProof/>
          <w:color w:val="555555"/>
          <w:sz w:val="21"/>
          <w:szCs w:val="21"/>
        </w:rPr>
        <w:drawing>
          <wp:inline distT="0" distB="0" distL="0" distR="0">
            <wp:extent cx="5926455" cy="3873500"/>
            <wp:effectExtent l="0" t="0" r="0" b="0"/>
            <wp:docPr id="2" name="图片 2" descr="log-log 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log scal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6455" cy="3873500"/>
                    </a:xfrm>
                    <a:prstGeom prst="rect">
                      <a:avLst/>
                    </a:prstGeom>
                    <a:noFill/>
                    <a:ln>
                      <a:noFill/>
                    </a:ln>
                  </pic:spPr>
                </pic:pic>
              </a:graphicData>
            </a:graphic>
          </wp:inline>
        </w:drawing>
      </w:r>
      <w:r w:rsidRPr="00900A76">
        <w:rPr>
          <w:rFonts w:ascii="Arial" w:eastAsia="Times New Roman" w:hAnsi="Arial" w:cs="Arial"/>
          <w:color w:val="555555"/>
          <w:sz w:val="21"/>
          <w:szCs w:val="21"/>
        </w:rPr>
        <w:t>log-log scale</w:t>
      </w:r>
    </w:p>
    <w:p w:rsidR="00900A76" w:rsidRPr="00900A76" w:rsidRDefault="00900A76" w:rsidP="00900A76">
      <w:pPr>
        <w:shd w:val="clear" w:color="auto" w:fill="FFFFFF"/>
        <w:spacing w:after="180" w:line="240" w:lineRule="auto"/>
        <w:outlineLvl w:val="1"/>
        <w:rPr>
          <w:rFonts w:ascii="Arial" w:eastAsia="Times New Roman" w:hAnsi="Arial" w:cs="Arial"/>
          <w:b/>
          <w:bCs/>
          <w:caps/>
          <w:color w:val="2A2A2A"/>
          <w:sz w:val="36"/>
          <w:szCs w:val="36"/>
        </w:rPr>
      </w:pPr>
      <w:r w:rsidRPr="00900A76">
        <w:rPr>
          <w:rFonts w:ascii="Arial" w:eastAsia="Times New Roman" w:hAnsi="Arial" w:cs="Arial"/>
          <w:b/>
          <w:bCs/>
          <w:caps/>
          <w:color w:val="FF6600"/>
          <w:sz w:val="36"/>
          <w:szCs w:val="36"/>
        </w:rPr>
        <w:lastRenderedPageBreak/>
        <w:t>3. STEP-3</w:t>
      </w:r>
      <w:r w:rsidRPr="00900A76">
        <w:rPr>
          <w:rFonts w:ascii="Arial" w:eastAsia="Times New Roman" w:hAnsi="Arial" w:cs="Arial"/>
          <w:b/>
          <w:bCs/>
          <w:caps/>
          <w:color w:val="00CCFF"/>
          <w:sz w:val="36"/>
          <w:szCs w:val="36"/>
        </w:rPr>
        <w:t> (CALCULATING SAFE BEARING CAPACITY)</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In order to calculate safe bearing capacity of the soil, divide the ultimate bearing capacity of soil by a suitable factor of safety.</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Safe bearing capacity of soil = Ultimate bearing capacity / Factor of safety</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The values of factor of safety normally used are </w:t>
      </w:r>
      <w:r w:rsidRPr="00900A76">
        <w:rPr>
          <w:rFonts w:ascii="Arial" w:eastAsia="Times New Roman" w:hAnsi="Arial" w:cs="Arial"/>
          <w:b/>
          <w:bCs/>
          <w:color w:val="555555"/>
          <w:sz w:val="21"/>
          <w:szCs w:val="21"/>
        </w:rPr>
        <w:t>2</w:t>
      </w:r>
      <w:r w:rsidRPr="00900A76">
        <w:rPr>
          <w:rFonts w:ascii="Arial" w:eastAsia="Times New Roman" w:hAnsi="Arial" w:cs="Arial"/>
          <w:color w:val="555555"/>
          <w:sz w:val="21"/>
          <w:szCs w:val="21"/>
        </w:rPr>
        <w:t>, </w:t>
      </w:r>
      <w:r w:rsidRPr="00900A76">
        <w:rPr>
          <w:rFonts w:ascii="Arial" w:eastAsia="Times New Roman" w:hAnsi="Arial" w:cs="Arial"/>
          <w:b/>
          <w:bCs/>
          <w:color w:val="555555"/>
          <w:sz w:val="21"/>
          <w:szCs w:val="21"/>
        </w:rPr>
        <w:t>2.5</w:t>
      </w:r>
      <w:r w:rsidRPr="00900A76">
        <w:rPr>
          <w:rFonts w:ascii="Arial" w:eastAsia="Times New Roman" w:hAnsi="Arial" w:cs="Arial"/>
          <w:color w:val="555555"/>
          <w:sz w:val="21"/>
          <w:szCs w:val="21"/>
        </w:rPr>
        <w:t> or </w:t>
      </w:r>
      <w:r w:rsidRPr="00900A76">
        <w:rPr>
          <w:rFonts w:ascii="Arial" w:eastAsia="Times New Roman" w:hAnsi="Arial" w:cs="Arial"/>
          <w:b/>
          <w:bCs/>
          <w:color w:val="555555"/>
          <w:sz w:val="21"/>
          <w:szCs w:val="21"/>
        </w:rPr>
        <w:t>3</w:t>
      </w:r>
      <w:r w:rsidRPr="00900A76">
        <w:rPr>
          <w:rFonts w:ascii="Arial" w:eastAsia="Times New Roman" w:hAnsi="Arial" w:cs="Arial"/>
          <w:color w:val="555555"/>
          <w:sz w:val="21"/>
          <w:szCs w:val="21"/>
        </w:rPr>
        <w:t> depending upon the site condition and importance of the structure.</w:t>
      </w:r>
    </w:p>
    <w:p w:rsidR="00900A76" w:rsidRPr="00900A76" w:rsidRDefault="00900A76" w:rsidP="00900A76">
      <w:pPr>
        <w:shd w:val="clear" w:color="auto" w:fill="FFFFFF"/>
        <w:spacing w:after="180" w:line="240" w:lineRule="auto"/>
        <w:outlineLvl w:val="1"/>
        <w:rPr>
          <w:rFonts w:ascii="Arial" w:eastAsia="Times New Roman" w:hAnsi="Arial" w:cs="Arial"/>
          <w:b/>
          <w:bCs/>
          <w:caps/>
          <w:color w:val="2A2A2A"/>
          <w:sz w:val="36"/>
          <w:szCs w:val="36"/>
        </w:rPr>
      </w:pPr>
      <w:r w:rsidRPr="00900A76">
        <w:rPr>
          <w:rFonts w:ascii="Arial" w:eastAsia="Times New Roman" w:hAnsi="Arial" w:cs="Arial"/>
          <w:b/>
          <w:bCs/>
          <w:caps/>
          <w:color w:val="FF6600"/>
          <w:sz w:val="36"/>
          <w:szCs w:val="36"/>
        </w:rPr>
        <w:t>4. STEP-4</w:t>
      </w:r>
      <w:r w:rsidRPr="00900A76">
        <w:rPr>
          <w:rFonts w:ascii="Arial" w:eastAsia="Times New Roman" w:hAnsi="Arial" w:cs="Arial"/>
          <w:b/>
          <w:bCs/>
          <w:caps/>
          <w:color w:val="00CCFF"/>
          <w:sz w:val="36"/>
          <w:szCs w:val="36"/>
        </w:rPr>
        <w:t> (CALCULATING SETTLEMENT OF PROPOSED FOOTING)</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The following formula as suggested by </w:t>
      </w:r>
      <w:r w:rsidRPr="00900A76">
        <w:rPr>
          <w:rFonts w:ascii="Arial" w:eastAsia="Times New Roman" w:hAnsi="Arial" w:cs="Arial"/>
          <w:b/>
          <w:bCs/>
          <w:color w:val="555555"/>
          <w:sz w:val="21"/>
          <w:szCs w:val="21"/>
        </w:rPr>
        <w:t>Terzaghi and Peck</w:t>
      </w:r>
      <w:r w:rsidRPr="00900A76">
        <w:rPr>
          <w:rFonts w:ascii="Arial" w:eastAsia="Times New Roman" w:hAnsi="Arial" w:cs="Arial"/>
          <w:color w:val="555555"/>
          <w:sz w:val="21"/>
          <w:szCs w:val="21"/>
        </w:rPr>
        <w:t> is used to calculate the settlement of footing </w:t>
      </w:r>
      <w:r w:rsidRPr="00900A76">
        <w:rPr>
          <w:rFonts w:ascii="Arial" w:eastAsia="Times New Roman" w:hAnsi="Arial" w:cs="Arial"/>
          <w:b/>
          <w:bCs/>
          <w:color w:val="555555"/>
          <w:sz w:val="21"/>
          <w:szCs w:val="21"/>
        </w:rPr>
        <w:t>for granular soil</w:t>
      </w:r>
      <w:r w:rsidRPr="00900A76">
        <w:rPr>
          <w:rFonts w:ascii="Arial" w:eastAsia="Times New Roman" w:hAnsi="Arial" w:cs="Arial"/>
          <w:color w:val="555555"/>
          <w:sz w:val="21"/>
          <w:szCs w:val="21"/>
        </w:rPr>
        <w:t>.</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f</w:t>
      </w:r>
      <w:r w:rsidRPr="00900A76">
        <w:rPr>
          <w:rFonts w:ascii="Arial" w:eastAsia="Times New Roman" w:hAnsi="Arial" w:cs="Arial"/>
          <w:b/>
          <w:bCs/>
          <w:color w:val="555555"/>
          <w:sz w:val="21"/>
          <w:szCs w:val="21"/>
        </w:rPr>
        <w:t> = S</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 {[B*(B</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+0.3)] / [B</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*(B+0.3)]}</w:t>
      </w:r>
      <w:r w:rsidRPr="00900A76">
        <w:rPr>
          <w:rFonts w:ascii="Arial" w:eastAsia="Times New Roman" w:hAnsi="Arial" w:cs="Arial"/>
          <w:b/>
          <w:bCs/>
          <w:color w:val="555555"/>
          <w:sz w:val="16"/>
          <w:szCs w:val="16"/>
          <w:vertAlign w:val="superscript"/>
        </w:rPr>
        <w:t>2</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For clayey soil</w:t>
      </w:r>
      <w:r w:rsidRPr="00900A76">
        <w:rPr>
          <w:rFonts w:ascii="Arial" w:eastAsia="Times New Roman" w:hAnsi="Arial" w:cs="Arial"/>
          <w:color w:val="555555"/>
          <w:sz w:val="21"/>
          <w:szCs w:val="21"/>
        </w:rPr>
        <w:t> the following equation can be used.</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f</w:t>
      </w:r>
      <w:r w:rsidRPr="00900A76">
        <w:rPr>
          <w:rFonts w:ascii="Arial" w:eastAsia="Times New Roman" w:hAnsi="Arial" w:cs="Arial"/>
          <w:b/>
          <w:bCs/>
          <w:color w:val="555555"/>
          <w:sz w:val="21"/>
          <w:szCs w:val="21"/>
        </w:rPr>
        <w:t> = S</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*(B/B</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Where,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p</w:t>
      </w:r>
      <w:r w:rsidRPr="00900A76">
        <w:rPr>
          <w:rFonts w:ascii="Arial" w:eastAsia="Times New Roman" w:hAnsi="Arial" w:cs="Arial"/>
          <w:color w:val="555555"/>
          <w:sz w:val="21"/>
          <w:szCs w:val="21"/>
        </w:rPr>
        <w:t> = Settlement of plate, mm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f</w:t>
      </w:r>
      <w:r w:rsidRPr="00900A76">
        <w:rPr>
          <w:rFonts w:ascii="Arial" w:eastAsia="Times New Roman" w:hAnsi="Arial" w:cs="Arial"/>
          <w:color w:val="555555"/>
          <w:sz w:val="21"/>
          <w:szCs w:val="21"/>
        </w:rPr>
        <w:t> = Settlemnt of footing, mm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B</w:t>
      </w:r>
      <w:r w:rsidRPr="00900A76">
        <w:rPr>
          <w:rFonts w:ascii="Arial" w:eastAsia="Times New Roman" w:hAnsi="Arial" w:cs="Arial"/>
          <w:b/>
          <w:bCs/>
          <w:color w:val="555555"/>
          <w:sz w:val="16"/>
          <w:szCs w:val="16"/>
          <w:vertAlign w:val="subscript"/>
        </w:rPr>
        <w:t>p</w:t>
      </w:r>
      <w:r w:rsidRPr="00900A76">
        <w:rPr>
          <w:rFonts w:ascii="Arial" w:eastAsia="Times New Roman" w:hAnsi="Arial" w:cs="Arial"/>
          <w:color w:val="555555"/>
          <w:sz w:val="21"/>
          <w:szCs w:val="21"/>
        </w:rPr>
        <w:t> = Width or dia of plate, 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B</w:t>
      </w:r>
      <w:r w:rsidRPr="00900A76">
        <w:rPr>
          <w:rFonts w:ascii="Arial" w:eastAsia="Times New Roman" w:hAnsi="Arial" w:cs="Arial"/>
          <w:color w:val="555555"/>
          <w:sz w:val="21"/>
          <w:szCs w:val="21"/>
        </w:rPr>
        <w:t> = Width of footing, 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For </w:t>
      </w:r>
      <w:r w:rsidRPr="00900A76">
        <w:rPr>
          <w:rFonts w:ascii="Arial" w:eastAsia="Times New Roman" w:hAnsi="Arial" w:cs="Arial"/>
          <w:b/>
          <w:bCs/>
          <w:color w:val="555555"/>
          <w:sz w:val="21"/>
          <w:szCs w:val="21"/>
        </w:rPr>
        <w:t>calculating settlement of a given size of foundation subjecting to a given load</w:t>
      </w:r>
      <w:r w:rsidRPr="00900A76">
        <w:rPr>
          <w:rFonts w:ascii="Arial" w:eastAsia="Times New Roman" w:hAnsi="Arial" w:cs="Arial"/>
          <w:color w:val="555555"/>
          <w:sz w:val="21"/>
          <w:szCs w:val="21"/>
        </w:rPr>
        <w:t>, first calculate the corresponding intensity of loading by dividing the area of footing by the load, i.e.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Intensity of Loading = Load (kN) / Area of footing (m</w:t>
      </w:r>
      <w:r w:rsidRPr="00900A76">
        <w:rPr>
          <w:rFonts w:ascii="Arial" w:eastAsia="Times New Roman" w:hAnsi="Arial" w:cs="Arial"/>
          <w:b/>
          <w:bCs/>
          <w:color w:val="555555"/>
          <w:sz w:val="16"/>
          <w:szCs w:val="16"/>
          <w:vertAlign w:val="superscript"/>
        </w:rPr>
        <w:t>2</w:t>
      </w:r>
      <w:r w:rsidRPr="00900A76">
        <w:rPr>
          <w:rFonts w:ascii="Arial" w:eastAsia="Times New Roman" w:hAnsi="Arial" w:cs="Arial"/>
          <w:b/>
          <w:bCs/>
          <w:color w:val="555555"/>
          <w:sz w:val="21"/>
          <w:szCs w:val="21"/>
        </w:rPr>
        <w:t>)</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Then from the load settlement curve drawn using PLT data, find out the plate settlement corresponding to the calculated intensity of loading and use this value of settlement in the formula to calculate the settlement of footing.</w:t>
      </w:r>
    </w:p>
    <w:p w:rsidR="00900A76" w:rsidRPr="00900A76" w:rsidRDefault="00900A76" w:rsidP="00900A76">
      <w:pPr>
        <w:shd w:val="clear" w:color="auto" w:fill="FFFFFF"/>
        <w:spacing w:after="180" w:line="240" w:lineRule="auto"/>
        <w:outlineLvl w:val="0"/>
        <w:rPr>
          <w:rFonts w:ascii="Arial" w:eastAsia="Times New Roman" w:hAnsi="Arial" w:cs="Arial"/>
          <w:b/>
          <w:bCs/>
          <w:caps/>
          <w:color w:val="2A2A2A"/>
          <w:kern w:val="36"/>
          <w:sz w:val="42"/>
          <w:szCs w:val="42"/>
        </w:rPr>
      </w:pPr>
      <w:r w:rsidRPr="00900A76">
        <w:rPr>
          <w:rFonts w:ascii="Arial" w:eastAsia="Times New Roman" w:hAnsi="Arial" w:cs="Arial"/>
          <w:b/>
          <w:bCs/>
          <w:caps/>
          <w:color w:val="000000"/>
          <w:kern w:val="36"/>
          <w:sz w:val="42"/>
          <w:szCs w:val="42"/>
        </w:rPr>
        <w:t>EXAMPLE CALCULATION</w:t>
      </w:r>
    </w:p>
    <w:p w:rsidR="00900A76" w:rsidRPr="00900A76" w:rsidRDefault="00900A76" w:rsidP="00900A76">
      <w:pPr>
        <w:shd w:val="clear" w:color="auto" w:fill="FFFFFF"/>
        <w:spacing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A plate load test was conducted using a plate of 0.75m*0.75m size, on a uniform deposit of sand and the following data were obtained:</w:t>
      </w:r>
    </w:p>
    <w:tbl>
      <w:tblPr>
        <w:tblStyle w:val="a8"/>
        <w:tblW w:w="9330" w:type="dxa"/>
        <w:tblLook w:val="04A0" w:firstRow="1" w:lastRow="0" w:firstColumn="1" w:lastColumn="0" w:noHBand="0" w:noVBand="1"/>
      </w:tblPr>
      <w:tblGrid>
        <w:gridCol w:w="4187"/>
        <w:gridCol w:w="5143"/>
      </w:tblGrid>
      <w:tr w:rsidR="00900A76" w:rsidRPr="00900A76" w:rsidTr="00900A76">
        <w:tc>
          <w:tcPr>
            <w:tcW w:w="1380" w:type="dxa"/>
            <w:hideMark/>
          </w:tcPr>
          <w:p w:rsidR="00900A76" w:rsidRPr="00900A76" w:rsidRDefault="00900A76" w:rsidP="00900A76">
            <w:r w:rsidRPr="00900A76">
              <w:t>Pressure (KN/m</w:t>
            </w:r>
            <w:r w:rsidRPr="00900A76">
              <w:rPr>
                <w:sz w:val="16"/>
                <w:szCs w:val="16"/>
                <w:vertAlign w:val="superscript"/>
              </w:rPr>
              <w:t>2</w:t>
            </w:r>
            <w:r w:rsidRPr="00900A76">
              <w:t>)</w:t>
            </w:r>
          </w:p>
        </w:tc>
        <w:tc>
          <w:tcPr>
            <w:tcW w:w="1695" w:type="dxa"/>
            <w:hideMark/>
          </w:tcPr>
          <w:p w:rsidR="00900A76" w:rsidRPr="00900A76" w:rsidRDefault="00900A76" w:rsidP="00900A76">
            <w:r w:rsidRPr="00900A76">
              <w:t>Settlement (mm)</w:t>
            </w:r>
          </w:p>
        </w:tc>
      </w:tr>
      <w:tr w:rsidR="00900A76" w:rsidRPr="00900A76" w:rsidTr="00900A76">
        <w:tc>
          <w:tcPr>
            <w:tcW w:w="1380" w:type="dxa"/>
            <w:hideMark/>
          </w:tcPr>
          <w:p w:rsidR="00900A76" w:rsidRPr="00900A76" w:rsidRDefault="00900A76" w:rsidP="00900A76">
            <w:r w:rsidRPr="00900A76">
              <w:t>0</w:t>
            </w:r>
          </w:p>
        </w:tc>
        <w:tc>
          <w:tcPr>
            <w:tcW w:w="1695" w:type="dxa"/>
            <w:hideMark/>
          </w:tcPr>
          <w:p w:rsidR="00900A76" w:rsidRPr="00900A76" w:rsidRDefault="00900A76" w:rsidP="00900A76">
            <w:r w:rsidRPr="00900A76">
              <w:t>0</w:t>
            </w:r>
          </w:p>
        </w:tc>
      </w:tr>
      <w:tr w:rsidR="00900A76" w:rsidRPr="00900A76" w:rsidTr="00900A76">
        <w:tc>
          <w:tcPr>
            <w:tcW w:w="1380" w:type="dxa"/>
            <w:hideMark/>
          </w:tcPr>
          <w:p w:rsidR="00900A76" w:rsidRPr="00900A76" w:rsidRDefault="00900A76" w:rsidP="00900A76">
            <w:r w:rsidRPr="00900A76">
              <w:t>50</w:t>
            </w:r>
          </w:p>
        </w:tc>
        <w:tc>
          <w:tcPr>
            <w:tcW w:w="1695" w:type="dxa"/>
            <w:hideMark/>
          </w:tcPr>
          <w:p w:rsidR="00900A76" w:rsidRPr="00900A76" w:rsidRDefault="00900A76" w:rsidP="00900A76">
            <w:r w:rsidRPr="00900A76">
              <w:t>1.5</w:t>
            </w:r>
          </w:p>
        </w:tc>
      </w:tr>
      <w:tr w:rsidR="00900A76" w:rsidRPr="00900A76" w:rsidTr="00900A76">
        <w:tc>
          <w:tcPr>
            <w:tcW w:w="1380" w:type="dxa"/>
            <w:hideMark/>
          </w:tcPr>
          <w:p w:rsidR="00900A76" w:rsidRPr="00900A76" w:rsidRDefault="00900A76" w:rsidP="00900A76">
            <w:r w:rsidRPr="00900A76">
              <w:t>100</w:t>
            </w:r>
          </w:p>
        </w:tc>
        <w:tc>
          <w:tcPr>
            <w:tcW w:w="1695" w:type="dxa"/>
            <w:hideMark/>
          </w:tcPr>
          <w:p w:rsidR="00900A76" w:rsidRPr="00900A76" w:rsidRDefault="00900A76" w:rsidP="00900A76">
            <w:r w:rsidRPr="00900A76">
              <w:t>2</w:t>
            </w:r>
          </w:p>
        </w:tc>
      </w:tr>
      <w:tr w:rsidR="00900A76" w:rsidRPr="00900A76" w:rsidTr="00900A76">
        <w:tc>
          <w:tcPr>
            <w:tcW w:w="1380" w:type="dxa"/>
            <w:hideMark/>
          </w:tcPr>
          <w:p w:rsidR="00900A76" w:rsidRPr="00900A76" w:rsidRDefault="00900A76" w:rsidP="00900A76">
            <w:r w:rsidRPr="00900A76">
              <w:t>200</w:t>
            </w:r>
          </w:p>
        </w:tc>
        <w:tc>
          <w:tcPr>
            <w:tcW w:w="1695" w:type="dxa"/>
            <w:hideMark/>
          </w:tcPr>
          <w:p w:rsidR="00900A76" w:rsidRPr="00900A76" w:rsidRDefault="00900A76" w:rsidP="00900A76">
            <w:r w:rsidRPr="00900A76">
              <w:t>4</w:t>
            </w:r>
          </w:p>
        </w:tc>
      </w:tr>
      <w:tr w:rsidR="00900A76" w:rsidRPr="00900A76" w:rsidTr="00900A76">
        <w:tc>
          <w:tcPr>
            <w:tcW w:w="1380" w:type="dxa"/>
            <w:hideMark/>
          </w:tcPr>
          <w:p w:rsidR="00900A76" w:rsidRPr="00900A76" w:rsidRDefault="00900A76" w:rsidP="00900A76">
            <w:r w:rsidRPr="00900A76">
              <w:t>300</w:t>
            </w:r>
          </w:p>
        </w:tc>
        <w:tc>
          <w:tcPr>
            <w:tcW w:w="1695" w:type="dxa"/>
            <w:hideMark/>
          </w:tcPr>
          <w:p w:rsidR="00900A76" w:rsidRPr="00900A76" w:rsidRDefault="00900A76" w:rsidP="00900A76">
            <w:r w:rsidRPr="00900A76">
              <w:t>7.5</w:t>
            </w:r>
          </w:p>
        </w:tc>
      </w:tr>
      <w:tr w:rsidR="00900A76" w:rsidRPr="00900A76" w:rsidTr="00900A76">
        <w:tc>
          <w:tcPr>
            <w:tcW w:w="1380" w:type="dxa"/>
            <w:hideMark/>
          </w:tcPr>
          <w:p w:rsidR="00900A76" w:rsidRPr="00900A76" w:rsidRDefault="00900A76" w:rsidP="00900A76">
            <w:r w:rsidRPr="00900A76">
              <w:t>400</w:t>
            </w:r>
          </w:p>
        </w:tc>
        <w:tc>
          <w:tcPr>
            <w:tcW w:w="1695" w:type="dxa"/>
            <w:hideMark/>
          </w:tcPr>
          <w:p w:rsidR="00900A76" w:rsidRPr="00900A76" w:rsidRDefault="00900A76" w:rsidP="00900A76">
            <w:r w:rsidRPr="00900A76">
              <w:t>12.5</w:t>
            </w:r>
          </w:p>
        </w:tc>
      </w:tr>
      <w:tr w:rsidR="00900A76" w:rsidRPr="00900A76" w:rsidTr="00900A76">
        <w:tc>
          <w:tcPr>
            <w:tcW w:w="1380" w:type="dxa"/>
            <w:hideMark/>
          </w:tcPr>
          <w:p w:rsidR="00900A76" w:rsidRPr="00900A76" w:rsidRDefault="00900A76" w:rsidP="00900A76">
            <w:r w:rsidRPr="00900A76">
              <w:t>500</w:t>
            </w:r>
          </w:p>
        </w:tc>
        <w:tc>
          <w:tcPr>
            <w:tcW w:w="1695" w:type="dxa"/>
            <w:hideMark/>
          </w:tcPr>
          <w:p w:rsidR="00900A76" w:rsidRPr="00900A76" w:rsidRDefault="00900A76" w:rsidP="00900A76">
            <w:r w:rsidRPr="00900A76">
              <w:t>20</w:t>
            </w:r>
          </w:p>
        </w:tc>
      </w:tr>
      <w:tr w:rsidR="00900A76" w:rsidRPr="00900A76" w:rsidTr="00900A76">
        <w:tc>
          <w:tcPr>
            <w:tcW w:w="1380" w:type="dxa"/>
            <w:hideMark/>
          </w:tcPr>
          <w:p w:rsidR="00900A76" w:rsidRPr="00900A76" w:rsidRDefault="00900A76" w:rsidP="00900A76">
            <w:r w:rsidRPr="00900A76">
              <w:t>600</w:t>
            </w:r>
          </w:p>
        </w:tc>
        <w:tc>
          <w:tcPr>
            <w:tcW w:w="1695" w:type="dxa"/>
            <w:hideMark/>
          </w:tcPr>
          <w:p w:rsidR="00900A76" w:rsidRPr="00900A76" w:rsidRDefault="00900A76" w:rsidP="00900A76">
            <w:r w:rsidRPr="00900A76">
              <w:t>40.6</w:t>
            </w:r>
          </w:p>
        </w:tc>
      </w:tr>
    </w:tbl>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lastRenderedPageBreak/>
        <w:t>Calculate the safe bearing capacity of soil taking factor of safety as 2.5.</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Calculate settlement of a square footing of size 2mx2m at safe bearing capacity</w:t>
      </w:r>
    </w:p>
    <w:p w:rsidR="00900A76" w:rsidRPr="00900A76" w:rsidRDefault="00900A76" w:rsidP="00900A76">
      <w:pPr>
        <w:shd w:val="clear" w:color="auto" w:fill="FFFFFF"/>
        <w:spacing w:after="180" w:line="240" w:lineRule="auto"/>
        <w:outlineLvl w:val="1"/>
        <w:rPr>
          <w:rFonts w:ascii="Arial" w:eastAsia="Times New Roman" w:hAnsi="Arial" w:cs="Arial"/>
          <w:b/>
          <w:bCs/>
          <w:caps/>
          <w:color w:val="2A2A2A"/>
          <w:sz w:val="36"/>
          <w:szCs w:val="36"/>
        </w:rPr>
      </w:pPr>
      <w:r w:rsidRPr="00900A76">
        <w:rPr>
          <w:rFonts w:ascii="Arial" w:eastAsia="Times New Roman" w:hAnsi="Arial" w:cs="Arial"/>
          <w:b/>
          <w:bCs/>
          <w:caps/>
          <w:color w:val="00CCFF"/>
          <w:sz w:val="36"/>
          <w:szCs w:val="36"/>
        </w:rPr>
        <w:t>ANSWER</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000080"/>
          <w:sz w:val="21"/>
          <w:szCs w:val="21"/>
          <w:u w:val="single"/>
        </w:rPr>
        <w:t>Calculation of Safe Bearing Capacity</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From the load settlement curve (see fig below) the ultimate bearing capacity of soil is found to be 500 kN/m</w:t>
      </w:r>
      <w:r w:rsidRPr="00900A76">
        <w:rPr>
          <w:rFonts w:ascii="Arial" w:eastAsia="Times New Roman" w:hAnsi="Arial" w:cs="Arial"/>
          <w:color w:val="555555"/>
          <w:sz w:val="16"/>
          <w:szCs w:val="16"/>
          <w:vertAlign w:val="superscript"/>
        </w:rPr>
        <w:t>2</w:t>
      </w:r>
      <w:r w:rsidRPr="00900A76">
        <w:rPr>
          <w:rFonts w:ascii="Arial" w:eastAsia="Times New Roman" w:hAnsi="Arial" w:cs="Arial"/>
          <w:color w:val="555555"/>
          <w:sz w:val="21"/>
          <w:szCs w:val="21"/>
        </w:rPr>
        <w:t> and corresponding settlement is 12 mm.</w:t>
      </w:r>
    </w:p>
    <w:p w:rsidR="00900A76" w:rsidRPr="00900A76" w:rsidRDefault="00900A76" w:rsidP="00900A76">
      <w:pPr>
        <w:shd w:val="clear" w:color="auto" w:fill="FFFFFF"/>
        <w:spacing w:after="0" w:line="240" w:lineRule="auto"/>
        <w:rPr>
          <w:rFonts w:ascii="Arial" w:eastAsia="Times New Roman" w:hAnsi="Arial" w:cs="Arial"/>
          <w:color w:val="555555"/>
          <w:sz w:val="21"/>
          <w:szCs w:val="21"/>
        </w:rPr>
      </w:pPr>
      <w:r w:rsidRPr="00900A76">
        <w:rPr>
          <w:rFonts w:ascii="Arial" w:eastAsia="Times New Roman" w:hAnsi="Arial" w:cs="Arial"/>
          <w:noProof/>
          <w:color w:val="555555"/>
          <w:sz w:val="21"/>
          <w:szCs w:val="21"/>
        </w:rPr>
        <w:drawing>
          <wp:inline distT="0" distB="0" distL="0" distR="0">
            <wp:extent cx="5926455" cy="4511675"/>
            <wp:effectExtent l="0" t="0" r="0" b="3175"/>
            <wp:docPr id="1" name="图片 1" descr="Load settlement 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ad settlement curv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6455" cy="4511675"/>
                    </a:xfrm>
                    <a:prstGeom prst="rect">
                      <a:avLst/>
                    </a:prstGeom>
                    <a:noFill/>
                    <a:ln>
                      <a:noFill/>
                    </a:ln>
                  </pic:spPr>
                </pic:pic>
              </a:graphicData>
            </a:graphic>
          </wp:inline>
        </w:drawing>
      </w:r>
      <w:r w:rsidRPr="00900A76">
        <w:rPr>
          <w:rFonts w:ascii="Arial" w:eastAsia="Times New Roman" w:hAnsi="Arial" w:cs="Arial"/>
          <w:color w:val="555555"/>
          <w:sz w:val="21"/>
          <w:szCs w:val="21"/>
        </w:rPr>
        <w:t>Load settlement curve</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So </w:t>
      </w:r>
      <w:r w:rsidRPr="00900A76">
        <w:rPr>
          <w:rFonts w:ascii="Arial" w:eastAsia="Times New Roman" w:hAnsi="Arial" w:cs="Arial"/>
          <w:b/>
          <w:bCs/>
          <w:color w:val="555555"/>
          <w:sz w:val="21"/>
          <w:szCs w:val="21"/>
        </w:rPr>
        <w:t>Safe bearing capacity (q</w:t>
      </w:r>
      <w:r w:rsidRPr="00900A76">
        <w:rPr>
          <w:rFonts w:ascii="Arial" w:eastAsia="Times New Roman" w:hAnsi="Arial" w:cs="Arial"/>
          <w:b/>
          <w:bCs/>
          <w:color w:val="555555"/>
          <w:sz w:val="16"/>
          <w:szCs w:val="16"/>
          <w:vertAlign w:val="subscript"/>
        </w:rPr>
        <w:t>safe</w:t>
      </w:r>
      <w:r w:rsidRPr="00900A76">
        <w:rPr>
          <w:rFonts w:ascii="Arial" w:eastAsia="Times New Roman" w:hAnsi="Arial" w:cs="Arial"/>
          <w:b/>
          <w:bCs/>
          <w:color w:val="555555"/>
          <w:sz w:val="21"/>
          <w:szCs w:val="21"/>
        </w:rPr>
        <w:t>)</w:t>
      </w:r>
      <w:r w:rsidRPr="00900A76">
        <w:rPr>
          <w:rFonts w:ascii="Arial" w:eastAsia="Times New Roman" w:hAnsi="Arial" w:cs="Arial"/>
          <w:color w:val="555555"/>
          <w:sz w:val="21"/>
          <w:szCs w:val="21"/>
        </w:rPr>
        <w:t> = </w:t>
      </w:r>
      <w:r w:rsidRPr="00900A76">
        <w:rPr>
          <w:rFonts w:ascii="Arial" w:eastAsia="Times New Roman" w:hAnsi="Arial" w:cs="Arial"/>
          <w:b/>
          <w:bCs/>
          <w:color w:val="555555"/>
          <w:sz w:val="21"/>
          <w:szCs w:val="21"/>
        </w:rPr>
        <w:t>Ultimate bearing capacity (q</w:t>
      </w:r>
      <w:r w:rsidRPr="00900A76">
        <w:rPr>
          <w:rFonts w:ascii="Arial" w:eastAsia="Times New Roman" w:hAnsi="Arial" w:cs="Arial"/>
          <w:b/>
          <w:bCs/>
          <w:color w:val="555555"/>
          <w:sz w:val="16"/>
          <w:szCs w:val="16"/>
          <w:vertAlign w:val="subscript"/>
        </w:rPr>
        <w:t>ult</w:t>
      </w:r>
      <w:r w:rsidRPr="00900A76">
        <w:rPr>
          <w:rFonts w:ascii="Arial" w:eastAsia="Times New Roman" w:hAnsi="Arial" w:cs="Arial"/>
          <w:b/>
          <w:bCs/>
          <w:color w:val="555555"/>
          <w:sz w:val="21"/>
          <w:szCs w:val="21"/>
        </w:rPr>
        <w:t>) / Factor of safety = 500 / 2.5 = 200 kN/m</w:t>
      </w:r>
      <w:r w:rsidRPr="00900A76">
        <w:rPr>
          <w:rFonts w:ascii="Arial" w:eastAsia="Times New Roman" w:hAnsi="Arial" w:cs="Arial"/>
          <w:b/>
          <w:bCs/>
          <w:color w:val="555555"/>
          <w:sz w:val="16"/>
          <w:szCs w:val="16"/>
          <w:vertAlign w:val="superscript"/>
        </w:rPr>
        <w:t>2</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000080"/>
          <w:sz w:val="21"/>
          <w:szCs w:val="21"/>
          <w:u w:val="single"/>
        </w:rPr>
        <w:t>Calculation of Footing Settlement</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Width of footing (B) = 2m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Width of plate (B</w:t>
      </w:r>
      <w:r w:rsidRPr="00900A76">
        <w:rPr>
          <w:rFonts w:ascii="Arial" w:eastAsia="Times New Roman" w:hAnsi="Arial" w:cs="Arial"/>
          <w:color w:val="555555"/>
          <w:sz w:val="16"/>
          <w:szCs w:val="16"/>
          <w:vertAlign w:val="subscript"/>
        </w:rPr>
        <w:t>p</w:t>
      </w:r>
      <w:r w:rsidRPr="00900A76">
        <w:rPr>
          <w:rFonts w:ascii="Arial" w:eastAsia="Times New Roman" w:hAnsi="Arial" w:cs="Arial"/>
          <w:color w:val="555555"/>
          <w:sz w:val="21"/>
          <w:szCs w:val="21"/>
        </w:rPr>
        <w:t>) = 750 mm = 0.75m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Plate settlement (S</w:t>
      </w:r>
      <w:r w:rsidRPr="00900A76">
        <w:rPr>
          <w:rFonts w:ascii="Arial" w:eastAsia="Times New Roman" w:hAnsi="Arial" w:cs="Arial"/>
          <w:color w:val="555555"/>
          <w:sz w:val="16"/>
          <w:szCs w:val="16"/>
          <w:vertAlign w:val="subscript"/>
        </w:rPr>
        <w:t>p</w:t>
      </w:r>
      <w:r w:rsidRPr="00900A76">
        <w:rPr>
          <w:rFonts w:ascii="Arial" w:eastAsia="Times New Roman" w:hAnsi="Arial" w:cs="Arial"/>
          <w:color w:val="555555"/>
          <w:sz w:val="21"/>
          <w:szCs w:val="21"/>
        </w:rPr>
        <w:t>) = 12mm</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color w:val="555555"/>
          <w:sz w:val="21"/>
          <w:szCs w:val="21"/>
        </w:rPr>
        <w:t>So settlement of footing at safe load can be calculated using the following formula</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f</w:t>
      </w:r>
      <w:r w:rsidRPr="00900A76">
        <w:rPr>
          <w:rFonts w:ascii="Arial" w:eastAsia="Times New Roman" w:hAnsi="Arial" w:cs="Arial"/>
          <w:b/>
          <w:bCs/>
          <w:color w:val="555555"/>
          <w:sz w:val="21"/>
          <w:szCs w:val="21"/>
        </w:rPr>
        <w:t> = S</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 {[B*(B</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+0.3)] / [B</w:t>
      </w:r>
      <w:r w:rsidRPr="00900A76">
        <w:rPr>
          <w:rFonts w:ascii="Arial" w:eastAsia="Times New Roman" w:hAnsi="Arial" w:cs="Arial"/>
          <w:b/>
          <w:bCs/>
          <w:color w:val="555555"/>
          <w:sz w:val="16"/>
          <w:szCs w:val="16"/>
          <w:vertAlign w:val="subscript"/>
        </w:rPr>
        <w:t>p</w:t>
      </w:r>
      <w:r w:rsidRPr="00900A76">
        <w:rPr>
          <w:rFonts w:ascii="Arial" w:eastAsia="Times New Roman" w:hAnsi="Arial" w:cs="Arial"/>
          <w:b/>
          <w:bCs/>
          <w:color w:val="555555"/>
          <w:sz w:val="21"/>
          <w:szCs w:val="21"/>
        </w:rPr>
        <w:t>*(B+0.3)]}</w:t>
      </w:r>
      <w:r w:rsidRPr="00900A76">
        <w:rPr>
          <w:rFonts w:ascii="Arial" w:eastAsia="Times New Roman" w:hAnsi="Arial" w:cs="Arial"/>
          <w:b/>
          <w:bCs/>
          <w:color w:val="555555"/>
          <w:sz w:val="16"/>
          <w:szCs w:val="16"/>
          <w:vertAlign w:val="superscript"/>
        </w:rPr>
        <w:t>2</w:t>
      </w:r>
    </w:p>
    <w:p w:rsidR="00900A76" w:rsidRPr="00900A76" w:rsidRDefault="00900A76" w:rsidP="00900A76">
      <w:pPr>
        <w:shd w:val="clear" w:color="auto" w:fill="FFFFFF"/>
        <w:spacing w:after="180" w:line="240" w:lineRule="auto"/>
        <w:rPr>
          <w:rFonts w:ascii="Arial" w:eastAsia="Times New Roman" w:hAnsi="Arial" w:cs="Arial"/>
          <w:color w:val="555555"/>
          <w:sz w:val="21"/>
          <w:szCs w:val="21"/>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f</w:t>
      </w:r>
      <w:r w:rsidRPr="00900A76">
        <w:rPr>
          <w:rFonts w:ascii="Arial" w:eastAsia="Times New Roman" w:hAnsi="Arial" w:cs="Arial"/>
          <w:b/>
          <w:bCs/>
          <w:color w:val="555555"/>
          <w:sz w:val="21"/>
          <w:szCs w:val="21"/>
        </w:rPr>
        <w:t> = 12 {[2*(0.75+0.3)] / [0.75*(2+0.3)]}</w:t>
      </w:r>
      <w:r w:rsidRPr="00900A76">
        <w:rPr>
          <w:rFonts w:ascii="Arial" w:eastAsia="Times New Roman" w:hAnsi="Arial" w:cs="Arial"/>
          <w:b/>
          <w:bCs/>
          <w:color w:val="555555"/>
          <w:sz w:val="16"/>
          <w:szCs w:val="16"/>
          <w:vertAlign w:val="superscript"/>
        </w:rPr>
        <w:t>2</w:t>
      </w:r>
    </w:p>
    <w:p w:rsidR="001A196A" w:rsidRPr="00900A76" w:rsidRDefault="00900A76" w:rsidP="00900A76">
      <w:pPr>
        <w:shd w:val="clear" w:color="auto" w:fill="FFFFFF"/>
        <w:spacing w:line="240" w:lineRule="auto"/>
        <w:rPr>
          <w:rFonts w:ascii="Arial" w:hAnsi="Arial" w:cs="Arial"/>
        </w:rPr>
      </w:pPr>
      <w:r w:rsidRPr="00900A76">
        <w:rPr>
          <w:rFonts w:ascii="Arial" w:eastAsia="Times New Roman" w:hAnsi="Arial" w:cs="Arial"/>
          <w:b/>
          <w:bCs/>
          <w:color w:val="555555"/>
          <w:sz w:val="21"/>
          <w:szCs w:val="21"/>
        </w:rPr>
        <w:t>S</w:t>
      </w:r>
      <w:r w:rsidRPr="00900A76">
        <w:rPr>
          <w:rFonts w:ascii="Arial" w:eastAsia="Times New Roman" w:hAnsi="Arial" w:cs="Arial"/>
          <w:b/>
          <w:bCs/>
          <w:color w:val="555555"/>
          <w:sz w:val="16"/>
          <w:szCs w:val="16"/>
          <w:vertAlign w:val="subscript"/>
        </w:rPr>
        <w:t>f</w:t>
      </w:r>
      <w:r w:rsidRPr="00900A76">
        <w:rPr>
          <w:rFonts w:ascii="Arial" w:eastAsia="Times New Roman" w:hAnsi="Arial" w:cs="Arial"/>
          <w:b/>
          <w:bCs/>
          <w:color w:val="555555"/>
          <w:sz w:val="21"/>
          <w:szCs w:val="21"/>
        </w:rPr>
        <w:t> = 17.78 = 18 mm</w:t>
      </w:r>
    </w:p>
    <w:sectPr w:rsidR="001A196A" w:rsidRPr="00900A7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0D0" w:rsidRDefault="00AE10D0" w:rsidP="00900A76">
      <w:pPr>
        <w:spacing w:after="0" w:line="240" w:lineRule="auto"/>
      </w:pPr>
      <w:r>
        <w:separator/>
      </w:r>
    </w:p>
  </w:endnote>
  <w:endnote w:type="continuationSeparator" w:id="0">
    <w:p w:rsidR="00AE10D0" w:rsidRDefault="00AE10D0" w:rsidP="00900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0D0" w:rsidRDefault="00AE10D0" w:rsidP="00900A76">
      <w:pPr>
        <w:spacing w:after="0" w:line="240" w:lineRule="auto"/>
      </w:pPr>
      <w:r>
        <w:separator/>
      </w:r>
    </w:p>
  </w:footnote>
  <w:footnote w:type="continuationSeparator" w:id="0">
    <w:p w:rsidR="00AE10D0" w:rsidRDefault="00AE10D0" w:rsidP="00900A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3B414F"/>
    <w:multiLevelType w:val="multilevel"/>
    <w:tmpl w:val="5660F1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84B"/>
    <w:rsid w:val="001A196A"/>
    <w:rsid w:val="00900A76"/>
    <w:rsid w:val="00AB484B"/>
    <w:rsid w:val="00AE10D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7CCEE78-3FA7-4799-892E-A912F840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Char"/>
    <w:uiPriority w:val="9"/>
    <w:qFormat/>
    <w:rsid w:val="00900A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900A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0A76"/>
    <w:pPr>
      <w:tabs>
        <w:tab w:val="center" w:pos="4153"/>
        <w:tab w:val="right" w:pos="8306"/>
      </w:tabs>
      <w:spacing w:after="0" w:line="240" w:lineRule="auto"/>
    </w:pPr>
  </w:style>
  <w:style w:type="character" w:customStyle="1" w:styleId="Char">
    <w:name w:val="页眉 Char"/>
    <w:basedOn w:val="a0"/>
    <w:link w:val="a3"/>
    <w:uiPriority w:val="99"/>
    <w:rsid w:val="00900A76"/>
  </w:style>
  <w:style w:type="paragraph" w:styleId="a4">
    <w:name w:val="footer"/>
    <w:basedOn w:val="a"/>
    <w:link w:val="Char0"/>
    <w:uiPriority w:val="99"/>
    <w:unhideWhenUsed/>
    <w:rsid w:val="00900A76"/>
    <w:pPr>
      <w:tabs>
        <w:tab w:val="center" w:pos="4153"/>
        <w:tab w:val="right" w:pos="8306"/>
      </w:tabs>
      <w:spacing w:after="0" w:line="240" w:lineRule="auto"/>
    </w:pPr>
  </w:style>
  <w:style w:type="character" w:customStyle="1" w:styleId="Char0">
    <w:name w:val="页脚 Char"/>
    <w:basedOn w:val="a0"/>
    <w:link w:val="a4"/>
    <w:uiPriority w:val="99"/>
    <w:rsid w:val="00900A76"/>
  </w:style>
  <w:style w:type="character" w:customStyle="1" w:styleId="1Char">
    <w:name w:val="标题 1 Char"/>
    <w:basedOn w:val="a0"/>
    <w:link w:val="1"/>
    <w:uiPriority w:val="9"/>
    <w:rsid w:val="00900A76"/>
    <w:rPr>
      <w:rFonts w:ascii="Times New Roman" w:eastAsia="Times New Roman" w:hAnsi="Times New Roman" w:cs="Times New Roman"/>
      <w:b/>
      <w:bCs/>
      <w:kern w:val="36"/>
      <w:sz w:val="48"/>
      <w:szCs w:val="48"/>
    </w:rPr>
  </w:style>
  <w:style w:type="character" w:customStyle="1" w:styleId="2Char">
    <w:name w:val="标题 2 Char"/>
    <w:basedOn w:val="a0"/>
    <w:link w:val="2"/>
    <w:uiPriority w:val="9"/>
    <w:rsid w:val="00900A76"/>
    <w:rPr>
      <w:rFonts w:ascii="Times New Roman" w:eastAsia="Times New Roman" w:hAnsi="Times New Roman" w:cs="Times New Roman"/>
      <w:b/>
      <w:bCs/>
      <w:sz w:val="36"/>
      <w:szCs w:val="36"/>
    </w:rPr>
  </w:style>
  <w:style w:type="character" w:customStyle="1" w:styleId="theauthor">
    <w:name w:val="theauthor"/>
    <w:basedOn w:val="a0"/>
    <w:rsid w:val="00900A76"/>
  </w:style>
  <w:style w:type="character" w:styleId="a5">
    <w:name w:val="Hyperlink"/>
    <w:basedOn w:val="a0"/>
    <w:uiPriority w:val="99"/>
    <w:semiHidden/>
    <w:unhideWhenUsed/>
    <w:rsid w:val="00900A76"/>
    <w:rPr>
      <w:color w:val="0000FF"/>
      <w:u w:val="single"/>
    </w:rPr>
  </w:style>
  <w:style w:type="character" w:customStyle="1" w:styleId="apple-converted-space">
    <w:name w:val="apple-converted-space"/>
    <w:basedOn w:val="a0"/>
    <w:rsid w:val="00900A76"/>
  </w:style>
  <w:style w:type="character" w:customStyle="1" w:styleId="thetime">
    <w:name w:val="thetime"/>
    <w:basedOn w:val="a0"/>
    <w:rsid w:val="00900A76"/>
  </w:style>
  <w:style w:type="character" w:customStyle="1" w:styleId="thecategory">
    <w:name w:val="thecategory"/>
    <w:basedOn w:val="a0"/>
    <w:rsid w:val="00900A76"/>
  </w:style>
  <w:style w:type="character" w:customStyle="1" w:styleId="thecomment">
    <w:name w:val="thecomment"/>
    <w:basedOn w:val="a0"/>
    <w:rsid w:val="00900A76"/>
  </w:style>
  <w:style w:type="paragraph" w:styleId="a6">
    <w:name w:val="Normal (Web)"/>
    <w:basedOn w:val="a"/>
    <w:uiPriority w:val="99"/>
    <w:semiHidden/>
    <w:unhideWhenUsed/>
    <w:rsid w:val="00900A76"/>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900A76"/>
    <w:rPr>
      <w:b/>
      <w:bCs/>
    </w:rPr>
  </w:style>
  <w:style w:type="table" w:styleId="a8">
    <w:name w:val="Table Grid"/>
    <w:basedOn w:val="a1"/>
    <w:uiPriority w:val="39"/>
    <w:rsid w:val="00900A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1"/>
    <w:uiPriority w:val="99"/>
    <w:semiHidden/>
    <w:unhideWhenUsed/>
    <w:rsid w:val="00900A76"/>
    <w:pPr>
      <w:spacing w:after="0" w:line="240" w:lineRule="auto"/>
    </w:pPr>
    <w:rPr>
      <w:rFonts w:ascii="Microsoft YaHei UI" w:eastAsia="Microsoft YaHei UI"/>
      <w:sz w:val="18"/>
      <w:szCs w:val="18"/>
    </w:rPr>
  </w:style>
  <w:style w:type="character" w:customStyle="1" w:styleId="Char1">
    <w:name w:val="批注框文本 Char"/>
    <w:basedOn w:val="a0"/>
    <w:link w:val="a9"/>
    <w:uiPriority w:val="99"/>
    <w:semiHidden/>
    <w:rsid w:val="00900A76"/>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07440">
      <w:bodyDiv w:val="1"/>
      <w:marLeft w:val="0"/>
      <w:marRight w:val="0"/>
      <w:marTop w:val="0"/>
      <w:marBottom w:val="0"/>
      <w:divBdr>
        <w:top w:val="none" w:sz="0" w:space="0" w:color="auto"/>
        <w:left w:val="none" w:sz="0" w:space="0" w:color="auto"/>
        <w:bottom w:val="none" w:sz="0" w:space="0" w:color="auto"/>
        <w:right w:val="none" w:sz="0" w:space="0" w:color="auto"/>
      </w:divBdr>
      <w:divsChild>
        <w:div w:id="1678728274">
          <w:marLeft w:val="0"/>
          <w:marRight w:val="0"/>
          <w:marTop w:val="45"/>
          <w:marBottom w:val="0"/>
          <w:divBdr>
            <w:top w:val="none" w:sz="0" w:space="0" w:color="auto"/>
            <w:left w:val="none" w:sz="0" w:space="0" w:color="auto"/>
            <w:bottom w:val="none" w:sz="0" w:space="0" w:color="auto"/>
            <w:right w:val="none" w:sz="0" w:space="0" w:color="auto"/>
          </w:divBdr>
        </w:div>
        <w:div w:id="765616922">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civilblog.org/2015/03/18/how-to-perform-plate-load-test-of-soil-on-sit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830</Words>
  <Characters>4733</Characters>
  <Application>Microsoft Office Word</Application>
  <DocSecurity>0</DocSecurity>
  <Lines>39</Lines>
  <Paragraphs>11</Paragraphs>
  <ScaleCrop>false</ScaleCrop>
  <Company/>
  <LinksUpToDate>false</LinksUpToDate>
  <CharactersWithSpaces>5552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Jinlong Li</dc:creator>
  <cp:keywords/>
  <dc:description/>
  <cp:lastModifiedBy>Jinlong Li</cp:lastModifiedBy>
  <cp:revision>2</cp:revision>
  <cp:lastPrinted>2016-07-21T16:20:00Z</cp:lastPrinted>
  <dcterms:created xsi:type="dcterms:W3CDTF">2016-07-21T16:18:00Z</dcterms:created>
  <dcterms:modified xsi:type="dcterms:W3CDTF">2016-07-21T16:21:00Z</dcterms:modified>
</cp:coreProperties>
</file>